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058E2" w:rsidRPr="008E53F1">
        <w:rPr>
          <w:rFonts w:ascii="Times New Roman" w:hAnsi="Times New Roman"/>
          <w:bCs/>
          <w:color w:val="FF0000"/>
          <w:sz w:val="20"/>
          <w:szCs w:val="20"/>
          <w:highlight w:val="yellow"/>
        </w:rPr>
        <w:t>12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sidRPr="008E53F1">
        <w:rPr>
          <w:rFonts w:ascii="Times New Roman" w:hAnsi="Times New Roman"/>
          <w:bCs/>
          <w:color w:val="FF0000"/>
          <w:sz w:val="20"/>
          <w:szCs w:val="20"/>
          <w:highlight w:val="yellow"/>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w:t>
      </w:r>
      <w:r w:rsidR="00A058E2" w:rsidRPr="008E53F1">
        <w:rPr>
          <w:rFonts w:ascii="Times New Roman" w:hAnsi="Times New Roman"/>
          <w:bCs/>
          <w:color w:val="FF0000"/>
          <w:sz w:val="20"/>
          <w:szCs w:val="20"/>
          <w:highlight w:val="yellow"/>
        </w:rPr>
        <w:t>90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A058E2">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320</w:t>
            </w:r>
            <w:r w:rsidRPr="00EB5272">
              <w:rPr>
                <w:rFonts w:ascii="Times New Roman" w:hAnsi="Times New Roman"/>
                <w:sz w:val="24"/>
                <w:szCs w:val="24"/>
              </w:rPr>
              <w:t> </w:t>
            </w:r>
            <w:r w:rsidR="00A058E2" w:rsidRPr="00A058E2">
              <w:rPr>
                <w:rFonts w:ascii="Times New Roman" w:hAnsi="Times New Roman"/>
                <w:sz w:val="24"/>
                <w:szCs w:val="24"/>
              </w:rPr>
              <w:t>803</w:t>
            </w:r>
            <w:r>
              <w:rPr>
                <w:rFonts w:ascii="Times New Roman" w:hAnsi="Times New Roman"/>
                <w:sz w:val="24"/>
                <w:szCs w:val="24"/>
              </w:rPr>
              <w:t>,</w:t>
            </w:r>
            <w:r w:rsidR="00A058E2" w:rsidRPr="00A058E2">
              <w:rPr>
                <w:rFonts w:ascii="Times New Roman" w:hAnsi="Times New Roman"/>
                <w:sz w:val="24"/>
                <w:szCs w:val="24"/>
              </w:rPr>
              <w:t>0</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A058E2">
              <w:rPr>
                <w:rFonts w:ascii="Times New Roman" w:hAnsi="Times New Roman"/>
                <w:sz w:val="20"/>
                <w:szCs w:val="20"/>
                <w:lang w:val="en-US"/>
              </w:rPr>
              <w:t>423</w:t>
            </w:r>
            <w:r w:rsidRPr="00EB5272">
              <w:rPr>
                <w:rFonts w:ascii="Times New Roman" w:hAnsi="Times New Roman"/>
                <w:sz w:val="20"/>
                <w:szCs w:val="20"/>
              </w:rPr>
              <w:t>,</w:t>
            </w:r>
            <w:r w:rsidR="00A058E2">
              <w:rPr>
                <w:rFonts w:ascii="Times New Roman" w:hAnsi="Times New Roman"/>
                <w:sz w:val="20"/>
                <w:szCs w:val="20"/>
                <w:lang w:val="en-US"/>
              </w:rPr>
              <w:t>8</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A058E2" w:rsidRDefault="00B37D34" w:rsidP="00A058E2">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A058E2">
              <w:rPr>
                <w:rFonts w:ascii="Times New Roman" w:hAnsi="Times New Roman"/>
                <w:sz w:val="20"/>
                <w:szCs w:val="20"/>
                <w:lang w:val="en-US"/>
              </w:rPr>
              <w:t>30</w:t>
            </w:r>
            <w:r w:rsidR="00862EBD" w:rsidRPr="00EB5272">
              <w:rPr>
                <w:rFonts w:ascii="Times New Roman" w:hAnsi="Times New Roman"/>
                <w:sz w:val="20"/>
                <w:szCs w:val="20"/>
              </w:rPr>
              <w:t> </w:t>
            </w:r>
            <w:r w:rsidR="00A058E2">
              <w:rPr>
                <w:rFonts w:ascii="Times New Roman" w:hAnsi="Times New Roman"/>
                <w:sz w:val="20"/>
                <w:szCs w:val="20"/>
                <w:lang w:val="en-US"/>
              </w:rPr>
              <w:t>088</w:t>
            </w:r>
            <w:r w:rsidR="00862EBD" w:rsidRPr="00EB5272">
              <w:rPr>
                <w:rFonts w:ascii="Times New Roman" w:hAnsi="Times New Roman"/>
                <w:sz w:val="20"/>
                <w:szCs w:val="20"/>
              </w:rPr>
              <w:t>,</w:t>
            </w:r>
            <w:r w:rsidR="00A058E2">
              <w:rPr>
                <w:rFonts w:ascii="Times New Roman" w:hAnsi="Times New Roman"/>
                <w:sz w:val="20"/>
                <w:szCs w:val="20"/>
                <w:lang w:val="en-US"/>
              </w:rPr>
              <w:t>4</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A058E2">
              <w:rPr>
                <w:rFonts w:ascii="Times New Roman" w:hAnsi="Times New Roman"/>
                <w:sz w:val="20"/>
                <w:szCs w:val="20"/>
                <w:lang w:val="en-US"/>
              </w:rPr>
              <w:t>689</w:t>
            </w:r>
            <w:r w:rsidRPr="00EB5272">
              <w:rPr>
                <w:rFonts w:ascii="Times New Roman" w:hAnsi="Times New Roman"/>
                <w:sz w:val="20"/>
                <w:szCs w:val="20"/>
              </w:rPr>
              <w:t>,</w:t>
            </w:r>
            <w:r w:rsidR="00A058E2">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A058E2" w:rsidRDefault="00B37D34" w:rsidP="00A058E2">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320</w:t>
            </w:r>
            <w:r w:rsidR="00862EBD" w:rsidRPr="00713079">
              <w:rPr>
                <w:rFonts w:ascii="Times New Roman" w:hAnsi="Times New Roman"/>
                <w:sz w:val="18"/>
                <w:szCs w:val="18"/>
              </w:rPr>
              <w:t> </w:t>
            </w:r>
            <w:r w:rsidR="00A058E2">
              <w:rPr>
                <w:rFonts w:ascii="Times New Roman" w:hAnsi="Times New Roman"/>
                <w:sz w:val="18"/>
                <w:szCs w:val="18"/>
                <w:lang w:val="en-US"/>
              </w:rPr>
              <w:t>803</w:t>
            </w:r>
            <w:r w:rsidR="00862EBD" w:rsidRPr="00713079">
              <w:rPr>
                <w:rFonts w:ascii="Times New Roman" w:hAnsi="Times New Roman"/>
                <w:sz w:val="18"/>
                <w:szCs w:val="18"/>
              </w:rPr>
              <w:t>,</w:t>
            </w:r>
            <w:r w:rsidR="00A058E2">
              <w:rPr>
                <w:rFonts w:ascii="Times New Roman" w:hAnsi="Times New Roman"/>
                <w:sz w:val="18"/>
                <w:szCs w:val="18"/>
                <w:lang w:val="en-US"/>
              </w:rPr>
              <w:t>0</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7C0E2E">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C0E2E" w:rsidRPr="007C0E2E">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sidR="007C0E2E" w:rsidRPr="007C0E2E">
              <w:rPr>
                <w:rFonts w:ascii="Times New Roman" w:eastAsia="Times New Roman" w:hAnsi="Times New Roman"/>
                <w:sz w:val="24"/>
                <w:szCs w:val="24"/>
                <w:lang w:eastAsia="ru-RU"/>
              </w:rPr>
              <w:t>660</w:t>
            </w:r>
            <w:r w:rsidRPr="00304668">
              <w:rPr>
                <w:rFonts w:ascii="Times New Roman" w:eastAsia="Times New Roman" w:hAnsi="Times New Roman"/>
                <w:sz w:val="24"/>
                <w:szCs w:val="24"/>
                <w:lang w:eastAsia="ru-RU"/>
              </w:rPr>
              <w:t>,</w:t>
            </w:r>
            <w:r w:rsidR="007C0E2E" w:rsidRPr="007C0E2E">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7C0E2E">
              <w:rPr>
                <w:rFonts w:ascii="Times New Roman" w:eastAsia="Times New Roman" w:hAnsi="Times New Roman"/>
                <w:sz w:val="24"/>
                <w:szCs w:val="24"/>
                <w:lang w:val="en-US" w:eastAsia="ru-RU"/>
              </w:rPr>
              <w:t>7</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985</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460F81" w:rsidP="007C0E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w:t>
            </w:r>
            <w:r w:rsidR="007C0E2E">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480</w:t>
            </w:r>
            <w:r w:rsidR="00304668"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8C03EC" w:rsidP="007C0E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537</w:t>
            </w:r>
            <w:r w:rsidR="00304668"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C0E2E">
              <w:rPr>
                <w:rFonts w:ascii="Times New Roman" w:eastAsia="Times New Roman" w:hAnsi="Times New Roman"/>
                <w:sz w:val="24"/>
                <w:szCs w:val="24"/>
                <w:lang w:val="en-US" w:eastAsia="ru-RU"/>
              </w:rPr>
              <w:t>34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660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8E53F1"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02592A"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AB006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AB006F">
                          <w:rPr>
                            <w:rFonts w:ascii="Times New Roman" w:hAnsi="Times New Roman"/>
                            <w:sz w:val="20"/>
                            <w:szCs w:val="20"/>
                          </w:rPr>
                          <w:t>30</w:t>
                        </w:r>
                        <w:r w:rsidR="00030C1B" w:rsidRPr="00030C1B">
                          <w:rPr>
                            <w:rFonts w:ascii="Times New Roman" w:hAnsi="Times New Roman"/>
                            <w:sz w:val="20"/>
                            <w:szCs w:val="20"/>
                          </w:rPr>
                          <w:t> </w:t>
                        </w:r>
                        <w:r w:rsidR="00AB006F">
                          <w:rPr>
                            <w:rFonts w:ascii="Times New Roman" w:hAnsi="Times New Roman"/>
                            <w:sz w:val="20"/>
                            <w:szCs w:val="20"/>
                          </w:rPr>
                          <w:t>088</w:t>
                        </w:r>
                        <w:r w:rsidR="00030C1B" w:rsidRPr="00030C1B">
                          <w:rPr>
                            <w:rFonts w:ascii="Times New Roman" w:hAnsi="Times New Roman"/>
                            <w:sz w:val="20"/>
                            <w:szCs w:val="20"/>
                          </w:rPr>
                          <w:t>,</w:t>
                        </w:r>
                        <w:r w:rsidR="00AB006F">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AB006F">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AB006F">
                          <w:rPr>
                            <w:rFonts w:ascii="Times New Roman" w:hAnsi="Times New Roman"/>
                            <w:sz w:val="20"/>
                            <w:szCs w:val="20"/>
                          </w:rPr>
                          <w:t>423</w:t>
                        </w:r>
                        <w:r w:rsidR="00030C1B" w:rsidRPr="00030C1B">
                          <w:rPr>
                            <w:rFonts w:ascii="Times New Roman" w:hAnsi="Times New Roman"/>
                            <w:sz w:val="20"/>
                            <w:szCs w:val="20"/>
                          </w:rPr>
                          <w:t>,</w:t>
                        </w:r>
                        <w:r w:rsidR="00AB006F">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w:t>
                        </w:r>
                        <w:r w:rsidR="00AB006F">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480</w:t>
                        </w:r>
                        <w:r w:rsidR="00030C1B"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AB006F">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985</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29</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25</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8E53F1"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bookmarkStart w:id="0" w:name="_GoBack"/>
                        <w:bookmarkEnd w:id="0"/>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r>
                          <w:rPr>
                            <w:rFonts w:ascii="Times New Roman" w:eastAsia="Times New Roman" w:hAnsi="Times New Roman"/>
                            <w:color w:val="000000"/>
                            <w:sz w:val="20"/>
                            <w:szCs w:val="20"/>
                            <w:lang w:eastAsia="ru-RU" w:bidi="ru-RU"/>
                          </w:rPr>
                          <w:lastRenderedPageBreak/>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lastRenderedPageBreak/>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Нотариальные услуги по принятию в депозит нотариуса денежных средств за жилые помещения, изымаемые у собственников для муниципальных нужд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2A" w:rsidRDefault="0002592A">
      <w:pPr>
        <w:spacing w:after="0" w:line="240" w:lineRule="auto"/>
      </w:pPr>
      <w:r>
        <w:separator/>
      </w:r>
    </w:p>
  </w:endnote>
  <w:endnote w:type="continuationSeparator" w:id="0">
    <w:p w:rsidR="0002592A" w:rsidRDefault="0002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2A" w:rsidRDefault="0002592A">
      <w:pPr>
        <w:spacing w:after="0" w:line="240" w:lineRule="auto"/>
      </w:pPr>
      <w:r>
        <w:separator/>
      </w:r>
    </w:p>
  </w:footnote>
  <w:footnote w:type="continuationSeparator" w:id="0">
    <w:p w:rsidR="0002592A" w:rsidRDefault="0002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8E53F1">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92A"/>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2A1F"/>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53F1"/>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18F7-4286-4722-A4A8-E0CB613B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22504</Words>
  <Characters>128275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cp:revision>
  <cp:lastPrinted>2022-01-19T08:47:00Z</cp:lastPrinted>
  <dcterms:created xsi:type="dcterms:W3CDTF">2024-05-21T08:34:00Z</dcterms:created>
  <dcterms:modified xsi:type="dcterms:W3CDTF">2024-05-21T08:34:00Z</dcterms:modified>
</cp:coreProperties>
</file>